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D9" w:rsidRPr="00530328" w:rsidRDefault="00530328">
      <w:pPr>
        <w:rPr>
          <w:b/>
        </w:rPr>
      </w:pPr>
      <w:r w:rsidRPr="00530328">
        <w:rPr>
          <w:b/>
        </w:rPr>
        <w:t>Rohde &amp; Schwarz (HAMEG)</w:t>
      </w:r>
    </w:p>
    <w:p w:rsidR="00530328" w:rsidRDefault="00885154">
      <w:r>
        <w:rPr>
          <w:noProof/>
          <w:lang w:eastAsia="en-GB"/>
        </w:rPr>
        <w:drawing>
          <wp:inline distT="0" distB="0" distL="0" distR="0" wp14:anchorId="404A5710" wp14:editId="1456AD44">
            <wp:extent cx="2238375" cy="1712582"/>
            <wp:effectExtent l="0" t="0" r="0" b="2540"/>
            <wp:docPr id="2" name="Picture 2" descr="http://value.rohde-schwarz.com/media/wysiwyg/VI-Microsite/HMP203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lue.rohde-schwarz.com/media/wysiwyg/VI-Microsite/HMP2030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712582"/>
                    </a:xfrm>
                    <a:prstGeom prst="rect">
                      <a:avLst/>
                    </a:prstGeom>
                    <a:noFill/>
                    <a:ln>
                      <a:noFill/>
                    </a:ln>
                  </pic:spPr>
                </pic:pic>
              </a:graphicData>
            </a:graphic>
          </wp:inline>
        </w:drawing>
      </w:r>
    </w:p>
    <w:p w:rsidR="00530328" w:rsidRDefault="00885154" w:rsidP="00530328">
      <w:pPr>
        <w:rPr>
          <w:b/>
        </w:rPr>
      </w:pPr>
      <w:r w:rsidRPr="00885154">
        <w:rPr>
          <w:b/>
        </w:rPr>
        <w:t>HAMEG HMP2020/2030 Programmable Two/Three-Channel Power Supply</w:t>
      </w:r>
    </w:p>
    <w:p w:rsidR="0028568E" w:rsidRDefault="0028568E" w:rsidP="00530328">
      <w:pPr>
        <w:rPr>
          <w:b/>
        </w:rPr>
      </w:pPr>
      <w:r>
        <w:rPr>
          <w:b/>
        </w:rPr>
        <w:t>Product Overview</w:t>
      </w:r>
    </w:p>
    <w:p w:rsidR="0028568E" w:rsidRDefault="0028568E" w:rsidP="00530328">
      <w:r w:rsidRPr="0028568E">
        <w:t xml:space="preserve">In the HMP series there are two 200 W and </w:t>
      </w:r>
      <w:proofErr w:type="gramStart"/>
      <w:r w:rsidRPr="0028568E">
        <w:t xml:space="preserve">two </w:t>
      </w:r>
      <w:r w:rsidR="00FE55AC">
        <w:t xml:space="preserve"> </w:t>
      </w:r>
      <w:r w:rsidRPr="0028568E">
        <w:t>400</w:t>
      </w:r>
      <w:proofErr w:type="gramEnd"/>
      <w:r w:rsidRPr="0028568E">
        <w:t> W types available which cover the range of 0...32 V and up to 10 A, depending on the number of channels required. This series is based on a classical concept with a mains transformer, high efficiency electronic pre regulators and linear post regulators. This concept yields the high power in the smallest space with the highest efficiency.</w:t>
      </w:r>
    </w:p>
    <w:p w:rsidR="0028568E" w:rsidRDefault="0028568E" w:rsidP="00530328">
      <w:r w:rsidRPr="0028568E">
        <w:t xml:space="preserve"> The HMP series further excels by its intelligent power management which allows higher currents (e.g. up to 10 A) at medium voltages (e.g. up to 16 V) to be made available. Excellent low residual ripple voltages (150 µ</w:t>
      </w:r>
      <w:proofErr w:type="spellStart"/>
      <w:r w:rsidRPr="0028568E">
        <w:t>Vrms</w:t>
      </w:r>
      <w:proofErr w:type="spellEnd"/>
      <w:r w:rsidRPr="0028568E">
        <w:t xml:space="preserve">) are realized even at full power output. The high adjustment and back-reading resolution of up to 1 mV/0.1 mA </w:t>
      </w:r>
      <w:proofErr w:type="spellStart"/>
      <w:r w:rsidRPr="0028568E">
        <w:t>fulfills</w:t>
      </w:r>
      <w:proofErr w:type="spellEnd"/>
      <w:r w:rsidRPr="0028568E">
        <w:t xml:space="preserve"> even the strictest requirements. Last but not least there is the </w:t>
      </w:r>
      <w:proofErr w:type="spellStart"/>
      <w:r w:rsidRPr="0028568E">
        <w:t>EasyArb</w:t>
      </w:r>
      <w:proofErr w:type="spellEnd"/>
      <w:r w:rsidRPr="0028568E">
        <w:t xml:space="preserve"> function available on all channels which </w:t>
      </w:r>
      <w:proofErr w:type="gramStart"/>
      <w:r w:rsidRPr="0028568E">
        <w:t>allows</w:t>
      </w:r>
      <w:proofErr w:type="gramEnd"/>
      <w:r w:rsidRPr="0028568E">
        <w:t xml:space="preserve"> you to program simple arbitrary voltage and current waveforms.</w:t>
      </w:r>
    </w:p>
    <w:p w:rsidR="00FE55AC" w:rsidRDefault="00FE55AC" w:rsidP="00530328">
      <w:bookmarkStart w:id="0" w:name="_GoBack"/>
      <w:bookmarkEnd w:id="0"/>
    </w:p>
    <w:p w:rsidR="00FE55AC" w:rsidRPr="00FE55AC" w:rsidRDefault="00FE55AC" w:rsidP="00530328">
      <w:pPr>
        <w:rPr>
          <w:b/>
        </w:rPr>
      </w:pPr>
      <w:r w:rsidRPr="00FE55AC">
        <w:rPr>
          <w:b/>
        </w:rPr>
        <w:t>Model Selection</w:t>
      </w:r>
    </w:p>
    <w:tbl>
      <w:tblPr>
        <w:tblW w:w="9870" w:type="dxa"/>
        <w:shd w:val="clear" w:color="auto" w:fill="FFFFFF"/>
        <w:tblCellMar>
          <w:left w:w="0" w:type="dxa"/>
          <w:right w:w="0" w:type="dxa"/>
        </w:tblCellMar>
        <w:tblLook w:val="04A0" w:firstRow="1" w:lastRow="0" w:firstColumn="1" w:lastColumn="0" w:noHBand="0" w:noVBand="1"/>
      </w:tblPr>
      <w:tblGrid>
        <w:gridCol w:w="7139"/>
        <w:gridCol w:w="2310"/>
        <w:gridCol w:w="421"/>
      </w:tblGrid>
      <w:tr w:rsidR="00FE55AC" w:rsidRPr="00FE55AC" w:rsidTr="00FE55AC">
        <w:tc>
          <w:tcPr>
            <w:tcW w:w="7139" w:type="dxa"/>
            <w:tcBorders>
              <w:top w:val="single" w:sz="12" w:space="0" w:color="E8E9EB"/>
              <w:left w:val="single" w:sz="12" w:space="0" w:color="E8E9EB"/>
              <w:bottom w:val="single" w:sz="12" w:space="0" w:color="E8E9EB"/>
              <w:right w:val="single" w:sz="12" w:space="0" w:color="E8E9EB"/>
            </w:tcBorders>
            <w:shd w:val="clear" w:color="auto" w:fill="E8E9EB"/>
            <w:tcMar>
              <w:top w:w="60" w:type="dxa"/>
              <w:left w:w="60" w:type="dxa"/>
              <w:bottom w:w="60" w:type="dxa"/>
              <w:right w:w="60" w:type="dxa"/>
            </w:tcMar>
            <w:vAlign w:val="center"/>
            <w:hideMark/>
          </w:tcPr>
          <w:p w:rsidR="00FE55AC" w:rsidRPr="00FE55AC" w:rsidRDefault="00FE55AC" w:rsidP="00FE55AC">
            <w:pPr>
              <w:rPr>
                <w:b/>
                <w:bCs/>
              </w:rPr>
            </w:pPr>
            <w:r w:rsidRPr="00FE55AC">
              <w:rPr>
                <w:b/>
                <w:bCs/>
              </w:rPr>
              <w:t>Designation</w:t>
            </w:r>
          </w:p>
        </w:tc>
        <w:tc>
          <w:tcPr>
            <w:tcW w:w="2310" w:type="dxa"/>
            <w:tcBorders>
              <w:top w:val="single" w:sz="12" w:space="0" w:color="E8E9EB"/>
              <w:left w:val="single" w:sz="12" w:space="0" w:color="E8E9EB"/>
              <w:bottom w:val="single" w:sz="12" w:space="0" w:color="E8E9EB"/>
              <w:right w:val="single" w:sz="12" w:space="0" w:color="E8E9EB"/>
            </w:tcBorders>
            <w:shd w:val="clear" w:color="auto" w:fill="E8E9EB"/>
            <w:tcMar>
              <w:top w:w="60" w:type="dxa"/>
              <w:left w:w="60" w:type="dxa"/>
              <w:bottom w:w="60" w:type="dxa"/>
              <w:right w:w="60" w:type="dxa"/>
            </w:tcMar>
            <w:vAlign w:val="center"/>
            <w:hideMark/>
          </w:tcPr>
          <w:p w:rsidR="00FE55AC" w:rsidRPr="00FE55AC" w:rsidRDefault="00FE55AC" w:rsidP="00FE55AC">
            <w:pPr>
              <w:rPr>
                <w:b/>
                <w:bCs/>
              </w:rPr>
            </w:pPr>
            <w:r w:rsidRPr="00FE55AC">
              <w:rPr>
                <w:b/>
                <w:bCs/>
              </w:rPr>
              <w:t>Type</w:t>
            </w:r>
          </w:p>
        </w:tc>
        <w:tc>
          <w:tcPr>
            <w:tcW w:w="0" w:type="auto"/>
            <w:tcBorders>
              <w:top w:val="single" w:sz="12" w:space="0" w:color="E8E9EB"/>
              <w:left w:val="single" w:sz="12" w:space="0" w:color="E8E9EB"/>
              <w:bottom w:val="single" w:sz="12" w:space="0" w:color="E8E9EB"/>
              <w:right w:val="single" w:sz="12" w:space="0" w:color="E8E9EB"/>
            </w:tcBorders>
            <w:shd w:val="clear" w:color="auto" w:fill="E8E9EB"/>
            <w:tcMar>
              <w:top w:w="60" w:type="dxa"/>
              <w:left w:w="60" w:type="dxa"/>
              <w:bottom w:w="60" w:type="dxa"/>
              <w:right w:w="60" w:type="dxa"/>
            </w:tcMar>
            <w:vAlign w:val="center"/>
            <w:hideMark/>
          </w:tcPr>
          <w:p w:rsidR="00FE55AC" w:rsidRPr="00FE55AC" w:rsidRDefault="00FE55AC" w:rsidP="00FE55AC">
            <w:pPr>
              <w:rPr>
                <w:b/>
                <w:bCs/>
              </w:rPr>
            </w:pPr>
            <w:r w:rsidRPr="00FE55AC">
              <w:rPr>
                <w:b/>
                <w:bCs/>
              </w:rPr>
              <w:t> </w:t>
            </w:r>
          </w:p>
        </w:tc>
      </w:tr>
      <w:tr w:rsidR="00FE55AC" w:rsidRPr="00FE55AC" w:rsidTr="00FE55AC">
        <w:tc>
          <w:tcPr>
            <w:tcW w:w="7139" w:type="dxa"/>
            <w:tcBorders>
              <w:top w:val="single" w:sz="12" w:space="0" w:color="E8E9EB"/>
              <w:left w:val="single" w:sz="12" w:space="0" w:color="E8E9EB"/>
              <w:bottom w:val="single" w:sz="12" w:space="0" w:color="E8E9EB"/>
              <w:right w:val="single" w:sz="12" w:space="0" w:color="E8E9EB"/>
            </w:tcBorders>
            <w:shd w:val="clear" w:color="auto" w:fill="FFFFFF"/>
            <w:tcMar>
              <w:top w:w="60" w:type="dxa"/>
              <w:left w:w="60" w:type="dxa"/>
              <w:bottom w:w="60" w:type="dxa"/>
              <w:right w:w="60" w:type="dxa"/>
            </w:tcMar>
            <w:vAlign w:val="center"/>
            <w:hideMark/>
          </w:tcPr>
          <w:p w:rsidR="00FE55AC" w:rsidRPr="00FE55AC" w:rsidRDefault="00FE55AC" w:rsidP="00FE55AC">
            <w:r w:rsidRPr="00FE55AC">
              <w:t>Programmable Two-Channel Power Supply</w:t>
            </w:r>
          </w:p>
        </w:tc>
        <w:tc>
          <w:tcPr>
            <w:tcW w:w="2310" w:type="dxa"/>
            <w:tcBorders>
              <w:top w:val="single" w:sz="12" w:space="0" w:color="E8E9EB"/>
              <w:left w:val="single" w:sz="12" w:space="0" w:color="E8E9EB"/>
              <w:bottom w:val="single" w:sz="12" w:space="0" w:color="E8E9EB"/>
              <w:right w:val="single" w:sz="12" w:space="0" w:color="E8E9EB"/>
            </w:tcBorders>
            <w:shd w:val="clear" w:color="auto" w:fill="FFFFFF"/>
            <w:tcMar>
              <w:top w:w="60" w:type="dxa"/>
              <w:left w:w="60" w:type="dxa"/>
              <w:bottom w:w="60" w:type="dxa"/>
              <w:right w:w="60" w:type="dxa"/>
            </w:tcMar>
            <w:vAlign w:val="center"/>
            <w:hideMark/>
          </w:tcPr>
          <w:p w:rsidR="00FE55AC" w:rsidRPr="00FE55AC" w:rsidRDefault="00FE55AC" w:rsidP="00FE55AC">
            <w:r w:rsidRPr="00FE55AC">
              <w:t>HAMEG® HMP2020</w:t>
            </w:r>
          </w:p>
        </w:tc>
        <w:tc>
          <w:tcPr>
            <w:tcW w:w="0" w:type="auto"/>
            <w:shd w:val="clear" w:color="auto" w:fill="FFFFFF"/>
            <w:vAlign w:val="center"/>
            <w:hideMark/>
          </w:tcPr>
          <w:p w:rsidR="00FE55AC" w:rsidRPr="00FE55AC" w:rsidRDefault="00FE55AC" w:rsidP="00FE55AC"/>
        </w:tc>
      </w:tr>
      <w:tr w:rsidR="00FE55AC" w:rsidRPr="00FE55AC" w:rsidTr="00FE55AC">
        <w:tc>
          <w:tcPr>
            <w:tcW w:w="7139" w:type="dxa"/>
            <w:tcBorders>
              <w:top w:val="single" w:sz="12" w:space="0" w:color="E8E9EB"/>
              <w:left w:val="single" w:sz="12" w:space="0" w:color="E8E9EB"/>
              <w:bottom w:val="single" w:sz="12" w:space="0" w:color="E8E9EB"/>
              <w:right w:val="single" w:sz="12" w:space="0" w:color="E8E9EB"/>
            </w:tcBorders>
            <w:shd w:val="clear" w:color="auto" w:fill="FFFFFF"/>
            <w:tcMar>
              <w:top w:w="60" w:type="dxa"/>
              <w:left w:w="60" w:type="dxa"/>
              <w:bottom w:w="60" w:type="dxa"/>
              <w:right w:w="60" w:type="dxa"/>
            </w:tcMar>
            <w:vAlign w:val="center"/>
            <w:hideMark/>
          </w:tcPr>
          <w:p w:rsidR="00FE55AC" w:rsidRPr="00FE55AC" w:rsidRDefault="00FE55AC" w:rsidP="00FE55AC">
            <w:r w:rsidRPr="00FE55AC">
              <w:t>Programmable Three-Channel Power Supply</w:t>
            </w:r>
          </w:p>
        </w:tc>
        <w:tc>
          <w:tcPr>
            <w:tcW w:w="2731" w:type="dxa"/>
            <w:gridSpan w:val="2"/>
            <w:tcBorders>
              <w:top w:val="single" w:sz="12" w:space="0" w:color="E8E9EB"/>
              <w:left w:val="single" w:sz="12" w:space="0" w:color="E8E9EB"/>
              <w:bottom w:val="single" w:sz="12" w:space="0" w:color="E8E9EB"/>
              <w:right w:val="single" w:sz="12" w:space="0" w:color="E8E9EB"/>
            </w:tcBorders>
            <w:shd w:val="clear" w:color="auto" w:fill="FFFFFF"/>
            <w:tcMar>
              <w:top w:w="60" w:type="dxa"/>
              <w:left w:w="60" w:type="dxa"/>
              <w:bottom w:w="60" w:type="dxa"/>
              <w:right w:w="60" w:type="dxa"/>
            </w:tcMar>
            <w:vAlign w:val="center"/>
            <w:hideMark/>
          </w:tcPr>
          <w:p w:rsidR="00FE55AC" w:rsidRPr="00FE55AC" w:rsidRDefault="00FE55AC" w:rsidP="00FE55AC">
            <w:r w:rsidRPr="00FE55AC">
              <w:t>HAMEG® HMP2030</w:t>
            </w:r>
          </w:p>
        </w:tc>
      </w:tr>
    </w:tbl>
    <w:p w:rsidR="00FE55AC" w:rsidRDefault="00FE55AC" w:rsidP="00530328"/>
    <w:p w:rsidR="00FE55AC" w:rsidRDefault="00FE55AC" w:rsidP="00530328"/>
    <w:p w:rsidR="00FE55AC" w:rsidRDefault="00FE55AC" w:rsidP="00530328"/>
    <w:p w:rsidR="00FE55AC" w:rsidRDefault="00FE55AC" w:rsidP="00530328"/>
    <w:p w:rsidR="00FE55AC" w:rsidRPr="0028568E" w:rsidRDefault="00FE55AC" w:rsidP="00530328"/>
    <w:p w:rsidR="00530328" w:rsidRDefault="00530328" w:rsidP="00530328">
      <w:pPr>
        <w:rPr>
          <w:b/>
        </w:rPr>
      </w:pPr>
    </w:p>
    <w:p w:rsidR="00530328" w:rsidRDefault="00530328" w:rsidP="00530328">
      <w:pPr>
        <w:rPr>
          <w:b/>
        </w:rPr>
      </w:pPr>
    </w:p>
    <w:p w:rsidR="00530328" w:rsidRDefault="00530328" w:rsidP="00530328">
      <w:pPr>
        <w:rPr>
          <w:b/>
        </w:rPr>
      </w:pPr>
      <w:r>
        <w:rPr>
          <w:b/>
        </w:rPr>
        <w:t>Key Features</w:t>
      </w:r>
    </w:p>
    <w:p w:rsidR="00530328" w:rsidRPr="00530328" w:rsidRDefault="00530328" w:rsidP="00530328">
      <w:pPr>
        <w:pStyle w:val="ListParagraph"/>
        <w:numPr>
          <w:ilvl w:val="0"/>
          <w:numId w:val="1"/>
        </w:numPr>
      </w:pPr>
      <w:r w:rsidRPr="00530328">
        <w:t>HMP2020: 1 × 0 V to 32 V/0 A to 10 A; 1 × 0 V to 32 V/</w:t>
      </w:r>
      <w:r>
        <w:t xml:space="preserve"> </w:t>
      </w:r>
      <w:r w:rsidRPr="00530328">
        <w:t>0 A to 5 A; max. 188 W</w:t>
      </w:r>
    </w:p>
    <w:p w:rsidR="00530328" w:rsidRPr="00530328" w:rsidRDefault="00530328" w:rsidP="00530328">
      <w:pPr>
        <w:pStyle w:val="ListParagraph"/>
        <w:numPr>
          <w:ilvl w:val="0"/>
          <w:numId w:val="1"/>
        </w:numPr>
      </w:pPr>
      <w:r w:rsidRPr="00530328">
        <w:t>HMP2030: 3 × 0 V to 32 V/0 A to 5 A; max. 188 W</w:t>
      </w:r>
    </w:p>
    <w:p w:rsidR="00530328" w:rsidRPr="00530328" w:rsidRDefault="00530328" w:rsidP="00530328">
      <w:pPr>
        <w:pStyle w:val="ListParagraph"/>
        <w:numPr>
          <w:ilvl w:val="0"/>
          <w:numId w:val="1"/>
        </w:numPr>
      </w:pPr>
      <w:r w:rsidRPr="00530328">
        <w:t>188 W output power through intelligent power</w:t>
      </w:r>
      <w:r>
        <w:t xml:space="preserve"> </w:t>
      </w:r>
      <w:r w:rsidRPr="00530328">
        <w:t>management</w:t>
      </w:r>
    </w:p>
    <w:p w:rsidR="00530328" w:rsidRPr="00530328" w:rsidRDefault="00530328" w:rsidP="00530328">
      <w:pPr>
        <w:pStyle w:val="ListParagraph"/>
        <w:numPr>
          <w:ilvl w:val="0"/>
          <w:numId w:val="1"/>
        </w:numPr>
      </w:pPr>
      <w:r w:rsidRPr="00530328">
        <w:t xml:space="preserve">Low residual ripple: &lt; 150 </w:t>
      </w:r>
      <w:proofErr w:type="spellStart"/>
      <w:r w:rsidRPr="00530328">
        <w:t>μV</w:t>
      </w:r>
      <w:proofErr w:type="spellEnd"/>
      <w:r w:rsidRPr="00530328">
        <w:t xml:space="preserve"> (RMS) due to linear</w:t>
      </w:r>
      <w:r>
        <w:t xml:space="preserve"> </w:t>
      </w:r>
      <w:proofErr w:type="spellStart"/>
      <w:r w:rsidRPr="00530328">
        <w:t>postregulators</w:t>
      </w:r>
      <w:proofErr w:type="spellEnd"/>
    </w:p>
    <w:p w:rsidR="00530328" w:rsidRPr="00530328" w:rsidRDefault="00530328" w:rsidP="00530328">
      <w:pPr>
        <w:pStyle w:val="ListParagraph"/>
        <w:numPr>
          <w:ilvl w:val="0"/>
          <w:numId w:val="1"/>
        </w:numPr>
      </w:pPr>
      <w:r w:rsidRPr="00530328">
        <w:t>High setting and read-back resolution of 1 mV up to</w:t>
      </w:r>
      <w:r>
        <w:t xml:space="preserve"> </w:t>
      </w:r>
      <w:r w:rsidRPr="00530328">
        <w:t>0.1 mA</w:t>
      </w:r>
    </w:p>
    <w:p w:rsidR="00530328" w:rsidRPr="00530328" w:rsidRDefault="00530328" w:rsidP="00530328">
      <w:pPr>
        <w:pStyle w:val="ListParagraph"/>
        <w:numPr>
          <w:ilvl w:val="0"/>
          <w:numId w:val="1"/>
        </w:numPr>
      </w:pPr>
      <w:proofErr w:type="spellStart"/>
      <w:r w:rsidRPr="00530328">
        <w:t>Galvanically</w:t>
      </w:r>
      <w:proofErr w:type="spellEnd"/>
      <w:r w:rsidRPr="00530328">
        <w:t xml:space="preserve"> isolated, earth-free and short-circuit</w:t>
      </w:r>
      <w:r>
        <w:t xml:space="preserve"> </w:t>
      </w:r>
      <w:r w:rsidRPr="00530328">
        <w:t>protected</w:t>
      </w:r>
      <w:r>
        <w:t xml:space="preserve"> </w:t>
      </w:r>
      <w:r w:rsidRPr="00530328">
        <w:t>output channels</w:t>
      </w:r>
    </w:p>
    <w:p w:rsidR="00530328" w:rsidRPr="00530328" w:rsidRDefault="00530328" w:rsidP="00530328">
      <w:pPr>
        <w:pStyle w:val="ListParagraph"/>
        <w:numPr>
          <w:ilvl w:val="0"/>
          <w:numId w:val="1"/>
        </w:numPr>
      </w:pPr>
      <w:r w:rsidRPr="00530328">
        <w:t>Advanced parallel and serial operation via V/I tracking</w:t>
      </w:r>
    </w:p>
    <w:p w:rsidR="00530328" w:rsidRPr="00530328" w:rsidRDefault="00530328" w:rsidP="00530328">
      <w:pPr>
        <w:pStyle w:val="ListParagraph"/>
        <w:numPr>
          <w:ilvl w:val="0"/>
          <w:numId w:val="1"/>
        </w:numPr>
      </w:pPr>
      <w:proofErr w:type="spellStart"/>
      <w:r w:rsidRPr="00530328">
        <w:t>EasyArb</w:t>
      </w:r>
      <w:proofErr w:type="spellEnd"/>
      <w:r w:rsidRPr="00530328">
        <w:t xml:space="preserve"> function for user-definable V/I characteristics</w:t>
      </w:r>
    </w:p>
    <w:p w:rsidR="00530328" w:rsidRPr="00530328" w:rsidRDefault="00530328" w:rsidP="00530328">
      <w:pPr>
        <w:pStyle w:val="ListParagraph"/>
        <w:numPr>
          <w:ilvl w:val="0"/>
          <w:numId w:val="1"/>
        </w:numPr>
      </w:pPr>
      <w:proofErr w:type="spellStart"/>
      <w:r w:rsidRPr="00530328">
        <w:t>FuseLink</w:t>
      </w:r>
      <w:proofErr w:type="spellEnd"/>
      <w:r w:rsidRPr="00530328">
        <w:t>: individual channel combination of electronic</w:t>
      </w:r>
      <w:r>
        <w:t xml:space="preserve"> </w:t>
      </w:r>
      <w:r w:rsidRPr="00530328">
        <w:t>fuses</w:t>
      </w:r>
    </w:p>
    <w:p w:rsidR="00530328" w:rsidRPr="00530328" w:rsidRDefault="00530328" w:rsidP="00530328">
      <w:pPr>
        <w:pStyle w:val="ListParagraph"/>
        <w:numPr>
          <w:ilvl w:val="0"/>
          <w:numId w:val="1"/>
        </w:numPr>
      </w:pPr>
      <w:r w:rsidRPr="00530328">
        <w:t>User-adjustable overvoltage protection (OVP) for all</w:t>
      </w:r>
      <w:r>
        <w:t xml:space="preserve"> </w:t>
      </w:r>
      <w:r w:rsidRPr="00530328">
        <w:t>outputs</w:t>
      </w:r>
    </w:p>
    <w:p w:rsidR="00530328" w:rsidRPr="00530328" w:rsidRDefault="00530328" w:rsidP="00530328">
      <w:pPr>
        <w:pStyle w:val="ListParagraph"/>
        <w:numPr>
          <w:ilvl w:val="0"/>
          <w:numId w:val="1"/>
        </w:numPr>
      </w:pPr>
      <w:r w:rsidRPr="00530328">
        <w:t>All parameters clearly displayed via LCD/illuminated</w:t>
      </w:r>
      <w:r>
        <w:t xml:space="preserve"> </w:t>
      </w:r>
      <w:r w:rsidRPr="00530328">
        <w:t>buttons</w:t>
      </w:r>
    </w:p>
    <w:p w:rsidR="00530328" w:rsidRPr="00530328" w:rsidRDefault="00530328" w:rsidP="00530328">
      <w:pPr>
        <w:pStyle w:val="ListParagraph"/>
        <w:numPr>
          <w:ilvl w:val="0"/>
          <w:numId w:val="1"/>
        </w:numPr>
      </w:pPr>
      <w:r w:rsidRPr="00530328">
        <w:t>Rear connectors for all channels, including sense</w:t>
      </w:r>
    </w:p>
    <w:p w:rsidR="00530328" w:rsidRPr="00530328" w:rsidRDefault="00530328" w:rsidP="00530328">
      <w:pPr>
        <w:pStyle w:val="ListParagraph"/>
        <w:numPr>
          <w:ilvl w:val="0"/>
          <w:numId w:val="1"/>
        </w:numPr>
      </w:pPr>
      <w:r w:rsidRPr="00530328">
        <w:t>USB/RS-232 interface, optionally Ethernet/USB or</w:t>
      </w:r>
      <w:r>
        <w:t xml:space="preserve"> </w:t>
      </w:r>
      <w:r w:rsidRPr="00530328">
        <w:t>IEEE 488 (GPIB)</w:t>
      </w:r>
    </w:p>
    <w:p w:rsidR="00530328" w:rsidRDefault="00530328" w:rsidP="00530328">
      <w:pPr>
        <w:ind w:left="360"/>
      </w:pPr>
    </w:p>
    <w:p w:rsidR="00530328" w:rsidRDefault="00530328" w:rsidP="00530328">
      <w:pPr>
        <w:ind w:left="360"/>
      </w:pPr>
    </w:p>
    <w:p w:rsidR="00530328" w:rsidRPr="00530328" w:rsidRDefault="00530328" w:rsidP="00530328">
      <w:pPr>
        <w:ind w:left="360"/>
      </w:pPr>
    </w:p>
    <w:sectPr w:rsidR="00530328" w:rsidRPr="00530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807"/>
    <w:multiLevelType w:val="hybridMultilevel"/>
    <w:tmpl w:val="0100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28"/>
    <w:rsid w:val="0028568E"/>
    <w:rsid w:val="00530328"/>
    <w:rsid w:val="00885154"/>
    <w:rsid w:val="00D83FD9"/>
    <w:rsid w:val="00F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328"/>
    <w:rPr>
      <w:rFonts w:ascii="Tahoma" w:hAnsi="Tahoma" w:cs="Tahoma"/>
      <w:sz w:val="16"/>
      <w:szCs w:val="16"/>
    </w:rPr>
  </w:style>
  <w:style w:type="paragraph" w:styleId="ListParagraph">
    <w:name w:val="List Paragraph"/>
    <w:basedOn w:val="Normal"/>
    <w:uiPriority w:val="34"/>
    <w:qFormat/>
    <w:rsid w:val="00530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328"/>
    <w:rPr>
      <w:rFonts w:ascii="Tahoma" w:hAnsi="Tahoma" w:cs="Tahoma"/>
      <w:sz w:val="16"/>
      <w:szCs w:val="16"/>
    </w:rPr>
  </w:style>
  <w:style w:type="paragraph" w:styleId="ListParagraph">
    <w:name w:val="List Paragraph"/>
    <w:basedOn w:val="Normal"/>
    <w:uiPriority w:val="34"/>
    <w:qFormat/>
    <w:rsid w:val="00530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61338">
      <w:bodyDiv w:val="1"/>
      <w:marLeft w:val="0"/>
      <w:marRight w:val="0"/>
      <w:marTop w:val="0"/>
      <w:marBottom w:val="0"/>
      <w:divBdr>
        <w:top w:val="none" w:sz="0" w:space="0" w:color="auto"/>
        <w:left w:val="none" w:sz="0" w:space="0" w:color="auto"/>
        <w:bottom w:val="none" w:sz="0" w:space="0" w:color="auto"/>
        <w:right w:val="none" w:sz="0" w:space="0" w:color="auto"/>
      </w:divBdr>
    </w:div>
    <w:div w:id="7520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3</cp:revision>
  <dcterms:created xsi:type="dcterms:W3CDTF">2015-02-04T10:46:00Z</dcterms:created>
  <dcterms:modified xsi:type="dcterms:W3CDTF">2015-02-04T10:55:00Z</dcterms:modified>
</cp:coreProperties>
</file>